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CFE" w:rsidRDefault="003F1CFE">
      <w:r>
        <w:rPr>
          <w:noProof/>
        </w:rPr>
        <w:drawing>
          <wp:inline distT="0" distB="0" distL="0" distR="0" wp14:anchorId="43E09F7A" wp14:editId="1B52E443">
            <wp:extent cx="1800225" cy="649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oalogo.gif"/>
                    <pic:cNvPicPr/>
                  </pic:nvPicPr>
                  <pic:blipFill>
                    <a:blip r:embed="rId5">
                      <a:extLst>
                        <a:ext uri="{28A0092B-C50C-407E-A947-70E740481C1C}">
                          <a14:useLocalDpi xmlns:a14="http://schemas.microsoft.com/office/drawing/2010/main" val="0"/>
                        </a:ext>
                      </a:extLst>
                    </a:blip>
                    <a:stretch>
                      <a:fillRect/>
                    </a:stretch>
                  </pic:blipFill>
                  <pic:spPr>
                    <a:xfrm>
                      <a:off x="0" y="0"/>
                      <a:ext cx="1837882" cy="662637"/>
                    </a:xfrm>
                    <a:prstGeom prst="rect">
                      <a:avLst/>
                    </a:prstGeom>
                  </pic:spPr>
                </pic:pic>
              </a:graphicData>
            </a:graphic>
          </wp:inline>
        </w:drawing>
      </w:r>
    </w:p>
    <w:p w:rsidR="003F1CFE" w:rsidRDefault="003F1CFE"/>
    <w:p w:rsidR="003F1CFE" w:rsidRDefault="003F1CFE"/>
    <w:p w:rsidR="00DC7C06" w:rsidRDefault="003A722D">
      <w:r>
        <w:t>Proposed Bylaws changes</w:t>
      </w:r>
      <w:r w:rsidR="003F1CFE">
        <w:t xml:space="preserve"> concerning Professional Membership category (Approved by the NEOA Board- 11/15/24)</w:t>
      </w:r>
    </w:p>
    <w:p w:rsidR="003A722D" w:rsidRDefault="003A722D"/>
    <w:p w:rsidR="003A722D" w:rsidRPr="003A722D" w:rsidRDefault="003A722D" w:rsidP="003A722D">
      <w:pPr>
        <w:pStyle w:val="BodyText"/>
        <w:spacing w:before="281"/>
        <w:rPr>
          <w:b/>
          <w:sz w:val="24"/>
          <w:szCs w:val="24"/>
        </w:rPr>
      </w:pPr>
      <w:r w:rsidRPr="003A722D">
        <w:rPr>
          <w:b/>
          <w:sz w:val="24"/>
          <w:szCs w:val="24"/>
        </w:rPr>
        <w:t>Current Bylaws</w:t>
      </w:r>
      <w:r w:rsidR="00AF3C4A">
        <w:rPr>
          <w:b/>
          <w:sz w:val="24"/>
          <w:szCs w:val="24"/>
        </w:rPr>
        <w:t>:</w:t>
      </w:r>
    </w:p>
    <w:p w:rsidR="003A722D" w:rsidRPr="00E5677E" w:rsidRDefault="003A722D" w:rsidP="003A722D">
      <w:pPr>
        <w:pStyle w:val="BodyText"/>
        <w:spacing w:before="281"/>
        <w:rPr>
          <w:sz w:val="24"/>
          <w:szCs w:val="24"/>
        </w:rPr>
      </w:pPr>
      <w:r w:rsidRPr="00E5677E">
        <w:rPr>
          <w:sz w:val="24"/>
          <w:szCs w:val="24"/>
          <w:u w:val="single"/>
        </w:rPr>
        <w:t>Section</w:t>
      </w:r>
      <w:r w:rsidRPr="00E5677E">
        <w:rPr>
          <w:spacing w:val="-9"/>
          <w:sz w:val="24"/>
          <w:szCs w:val="24"/>
          <w:u w:val="single"/>
        </w:rPr>
        <w:t xml:space="preserve"> </w:t>
      </w:r>
      <w:r w:rsidRPr="00E5677E">
        <w:rPr>
          <w:sz w:val="24"/>
          <w:szCs w:val="24"/>
          <w:u w:val="single"/>
        </w:rPr>
        <w:t>2:</w:t>
      </w:r>
      <w:r w:rsidRPr="00E5677E">
        <w:rPr>
          <w:spacing w:val="-7"/>
          <w:sz w:val="24"/>
          <w:szCs w:val="24"/>
        </w:rPr>
        <w:t xml:space="preserve"> </w:t>
      </w:r>
      <w:r w:rsidRPr="00E5677E">
        <w:rPr>
          <w:sz w:val="24"/>
          <w:szCs w:val="24"/>
        </w:rPr>
        <w:t>Active</w:t>
      </w:r>
      <w:r w:rsidRPr="00E5677E">
        <w:rPr>
          <w:spacing w:val="-8"/>
          <w:sz w:val="24"/>
          <w:szCs w:val="24"/>
        </w:rPr>
        <w:t xml:space="preserve"> </w:t>
      </w:r>
      <w:r w:rsidRPr="00E5677E">
        <w:rPr>
          <w:sz w:val="24"/>
          <w:szCs w:val="24"/>
        </w:rPr>
        <w:t>Professional</w:t>
      </w:r>
      <w:r w:rsidRPr="00E5677E">
        <w:rPr>
          <w:spacing w:val="-7"/>
          <w:sz w:val="24"/>
          <w:szCs w:val="24"/>
        </w:rPr>
        <w:t xml:space="preserve"> </w:t>
      </w:r>
      <w:r w:rsidRPr="00E5677E">
        <w:rPr>
          <w:spacing w:val="-2"/>
          <w:sz w:val="24"/>
          <w:szCs w:val="24"/>
        </w:rPr>
        <w:t>Membership</w:t>
      </w:r>
    </w:p>
    <w:p w:rsidR="003A722D" w:rsidRPr="00E5677E" w:rsidRDefault="003A722D" w:rsidP="003A722D">
      <w:pPr>
        <w:pStyle w:val="ListParagraph"/>
        <w:widowControl w:val="0"/>
        <w:numPr>
          <w:ilvl w:val="0"/>
          <w:numId w:val="2"/>
        </w:numPr>
        <w:tabs>
          <w:tab w:val="left" w:pos="394"/>
        </w:tabs>
        <w:autoSpaceDE w:val="0"/>
        <w:autoSpaceDN w:val="0"/>
        <w:spacing w:before="276" w:line="240" w:lineRule="auto"/>
        <w:ind w:right="119" w:firstLine="0"/>
        <w:contextualSpacing w:val="0"/>
      </w:pPr>
      <w:r w:rsidRPr="006C4FBD">
        <w:t>Active</w:t>
      </w:r>
      <w:r w:rsidRPr="006C4FBD">
        <w:rPr>
          <w:color w:val="FF0000"/>
        </w:rPr>
        <w:t xml:space="preserve"> </w:t>
      </w:r>
      <w:r w:rsidRPr="00E5677E">
        <w:t>Professional Membership shall be limited to those persons actively engaged in the administration or general operation, inclusive of instructional staff, of educational opportunity programs located in the states of Massachusetts, Rhode Island, Connecticut, Maine, Vermont, and New Hampshire or those who</w:t>
      </w:r>
      <w:r w:rsidRPr="00E5677E">
        <w:rPr>
          <w:spacing w:val="-6"/>
        </w:rPr>
        <w:t xml:space="preserve"> </w:t>
      </w:r>
      <w:r w:rsidRPr="00E5677E">
        <w:t>are active professional members of one of the regional state associations (CT) CAEOP, (MA) MEOA, (ME) MEEOA, (NH) NHEOA, (RI) RIEOA, and (VT) VEOP. Persons qualifying for active Professional Membership</w:t>
      </w:r>
      <w:r w:rsidRPr="00E5677E">
        <w:rPr>
          <w:spacing w:val="-5"/>
        </w:rPr>
        <w:t xml:space="preserve"> </w:t>
      </w:r>
      <w:r w:rsidRPr="00E5677E">
        <w:t>should</w:t>
      </w:r>
      <w:r w:rsidRPr="00E5677E">
        <w:rPr>
          <w:spacing w:val="-5"/>
        </w:rPr>
        <w:t xml:space="preserve"> </w:t>
      </w:r>
      <w:r w:rsidRPr="00E5677E">
        <w:t>spend</w:t>
      </w:r>
      <w:r w:rsidRPr="00E5677E">
        <w:rPr>
          <w:spacing w:val="-5"/>
        </w:rPr>
        <w:t xml:space="preserve"> </w:t>
      </w:r>
      <w:r w:rsidRPr="00E5677E">
        <w:t>a</w:t>
      </w:r>
      <w:r w:rsidRPr="00E5677E">
        <w:rPr>
          <w:spacing w:val="-4"/>
        </w:rPr>
        <w:t xml:space="preserve"> </w:t>
      </w:r>
      <w:r w:rsidRPr="00E5677E">
        <w:t>significant</w:t>
      </w:r>
      <w:r w:rsidRPr="00E5677E">
        <w:rPr>
          <w:spacing w:val="-3"/>
        </w:rPr>
        <w:t xml:space="preserve"> </w:t>
      </w:r>
      <w:r w:rsidRPr="00E5677E">
        <w:t>and</w:t>
      </w:r>
      <w:r w:rsidRPr="00E5677E">
        <w:rPr>
          <w:spacing w:val="-5"/>
        </w:rPr>
        <w:t xml:space="preserve"> </w:t>
      </w:r>
      <w:r w:rsidRPr="00E5677E">
        <w:t>continuing</w:t>
      </w:r>
      <w:r w:rsidRPr="00E5677E">
        <w:rPr>
          <w:spacing w:val="-5"/>
        </w:rPr>
        <w:t xml:space="preserve"> </w:t>
      </w:r>
      <w:r w:rsidRPr="00E5677E">
        <w:t>portion of</w:t>
      </w:r>
      <w:r w:rsidRPr="00E5677E">
        <w:rPr>
          <w:spacing w:val="-3"/>
        </w:rPr>
        <w:t xml:space="preserve"> </w:t>
      </w:r>
      <w:r w:rsidRPr="00E5677E">
        <w:t>their</w:t>
      </w:r>
      <w:r w:rsidRPr="00E5677E">
        <w:rPr>
          <w:spacing w:val="-4"/>
        </w:rPr>
        <w:t xml:space="preserve"> </w:t>
      </w:r>
      <w:r w:rsidRPr="00E5677E">
        <w:t>full-time professional activities involved in the concerns of the students referred to in Article II.</w:t>
      </w:r>
    </w:p>
    <w:p w:rsidR="003A722D" w:rsidRPr="00E5677E" w:rsidRDefault="003A722D" w:rsidP="003A722D">
      <w:pPr>
        <w:pStyle w:val="ListParagraph"/>
        <w:widowControl w:val="0"/>
        <w:numPr>
          <w:ilvl w:val="0"/>
          <w:numId w:val="2"/>
        </w:numPr>
        <w:tabs>
          <w:tab w:val="left" w:pos="409"/>
        </w:tabs>
        <w:autoSpaceDE w:val="0"/>
        <w:autoSpaceDN w:val="0"/>
        <w:spacing w:before="284" w:line="240" w:lineRule="auto"/>
        <w:ind w:right="504" w:firstLine="0"/>
        <w:contextualSpacing w:val="0"/>
      </w:pPr>
      <w:r w:rsidRPr="00E5677E">
        <w:t>Each</w:t>
      </w:r>
      <w:r w:rsidRPr="00E5677E">
        <w:rPr>
          <w:spacing w:val="-4"/>
        </w:rPr>
        <w:t xml:space="preserve"> </w:t>
      </w:r>
      <w:r w:rsidRPr="00E5677E">
        <w:t>Active</w:t>
      </w:r>
      <w:r w:rsidRPr="00E5677E">
        <w:rPr>
          <w:spacing w:val="-3"/>
        </w:rPr>
        <w:t xml:space="preserve"> </w:t>
      </w:r>
      <w:r w:rsidRPr="00E5677E">
        <w:t>Professional</w:t>
      </w:r>
      <w:r w:rsidRPr="00E5677E">
        <w:rPr>
          <w:spacing w:val="-2"/>
        </w:rPr>
        <w:t xml:space="preserve"> </w:t>
      </w:r>
      <w:r w:rsidRPr="00E5677E">
        <w:t>Member</w:t>
      </w:r>
      <w:r w:rsidRPr="00E5677E">
        <w:rPr>
          <w:spacing w:val="-2"/>
        </w:rPr>
        <w:t xml:space="preserve"> </w:t>
      </w:r>
      <w:r w:rsidRPr="00E5677E">
        <w:t>is</w:t>
      </w:r>
      <w:r w:rsidRPr="00E5677E">
        <w:rPr>
          <w:spacing w:val="-3"/>
        </w:rPr>
        <w:t xml:space="preserve"> </w:t>
      </w:r>
      <w:r w:rsidRPr="00E5677E">
        <w:t>entitled</w:t>
      </w:r>
      <w:r w:rsidRPr="00E5677E">
        <w:rPr>
          <w:spacing w:val="-4"/>
        </w:rPr>
        <w:t xml:space="preserve"> </w:t>
      </w:r>
      <w:r w:rsidRPr="00E5677E">
        <w:t>to</w:t>
      </w:r>
      <w:r w:rsidRPr="00E5677E">
        <w:rPr>
          <w:spacing w:val="-4"/>
        </w:rPr>
        <w:t xml:space="preserve"> </w:t>
      </w:r>
      <w:r w:rsidRPr="00E5677E">
        <w:t>one</w:t>
      </w:r>
      <w:r w:rsidRPr="00E5677E">
        <w:rPr>
          <w:spacing w:val="-3"/>
        </w:rPr>
        <w:t xml:space="preserve"> </w:t>
      </w:r>
      <w:r w:rsidRPr="00E5677E">
        <w:t>vote</w:t>
      </w:r>
      <w:r w:rsidRPr="00E5677E">
        <w:rPr>
          <w:spacing w:val="-3"/>
        </w:rPr>
        <w:t xml:space="preserve"> </w:t>
      </w:r>
      <w:r w:rsidRPr="00E5677E">
        <w:t>and</w:t>
      </w:r>
      <w:r w:rsidRPr="00E5677E">
        <w:rPr>
          <w:spacing w:val="-4"/>
        </w:rPr>
        <w:t xml:space="preserve"> </w:t>
      </w:r>
      <w:r w:rsidRPr="00E5677E">
        <w:t>is</w:t>
      </w:r>
      <w:r w:rsidRPr="00E5677E">
        <w:rPr>
          <w:spacing w:val="-3"/>
        </w:rPr>
        <w:t xml:space="preserve"> </w:t>
      </w:r>
      <w:r w:rsidRPr="00E5677E">
        <w:t>eligible</w:t>
      </w:r>
      <w:r w:rsidRPr="00E5677E">
        <w:rPr>
          <w:spacing w:val="-3"/>
        </w:rPr>
        <w:t xml:space="preserve"> </w:t>
      </w:r>
      <w:r w:rsidRPr="00E5677E">
        <w:t>to hold office as delineated in Article V, Section 3 of these bylaws.</w:t>
      </w:r>
    </w:p>
    <w:p w:rsidR="003A722D" w:rsidRPr="00E5677E" w:rsidRDefault="003A722D" w:rsidP="003A722D">
      <w:pPr>
        <w:pStyle w:val="ListParagraph"/>
        <w:widowControl w:val="0"/>
        <w:numPr>
          <w:ilvl w:val="0"/>
          <w:numId w:val="2"/>
        </w:numPr>
        <w:tabs>
          <w:tab w:val="left" w:pos="394"/>
        </w:tabs>
        <w:autoSpaceDE w:val="0"/>
        <w:autoSpaceDN w:val="0"/>
        <w:spacing w:before="276" w:line="240" w:lineRule="auto"/>
        <w:ind w:right="1998" w:firstLine="0"/>
        <w:contextualSpacing w:val="0"/>
      </w:pPr>
      <w:r w:rsidRPr="00E5677E">
        <w:t>Membership</w:t>
      </w:r>
      <w:r w:rsidRPr="00E5677E">
        <w:rPr>
          <w:spacing w:val="-7"/>
        </w:rPr>
        <w:t xml:space="preserve"> </w:t>
      </w:r>
      <w:r w:rsidRPr="00E5677E">
        <w:t>shall</w:t>
      </w:r>
      <w:r w:rsidRPr="00E5677E">
        <w:rPr>
          <w:spacing w:val="-5"/>
        </w:rPr>
        <w:t xml:space="preserve"> </w:t>
      </w:r>
      <w:r w:rsidRPr="00E5677E">
        <w:t>remain</w:t>
      </w:r>
      <w:r w:rsidRPr="00E5677E">
        <w:rPr>
          <w:spacing w:val="-7"/>
        </w:rPr>
        <w:t xml:space="preserve"> </w:t>
      </w:r>
      <w:r w:rsidRPr="00E5677E">
        <w:t>with</w:t>
      </w:r>
      <w:r w:rsidRPr="00E5677E">
        <w:rPr>
          <w:spacing w:val="-7"/>
        </w:rPr>
        <w:t xml:space="preserve"> </w:t>
      </w:r>
      <w:r w:rsidRPr="00E5677E">
        <w:t>the</w:t>
      </w:r>
      <w:r w:rsidRPr="00E5677E">
        <w:rPr>
          <w:spacing w:val="-6"/>
        </w:rPr>
        <w:t xml:space="preserve"> </w:t>
      </w:r>
      <w:r w:rsidRPr="00E5677E">
        <w:t>individual</w:t>
      </w:r>
      <w:r w:rsidRPr="00E5677E">
        <w:rPr>
          <w:spacing w:val="-5"/>
        </w:rPr>
        <w:t xml:space="preserve"> </w:t>
      </w:r>
      <w:r w:rsidRPr="00E5677E">
        <w:t>irrespective</w:t>
      </w:r>
      <w:r w:rsidRPr="00E5677E">
        <w:rPr>
          <w:spacing w:val="-6"/>
        </w:rPr>
        <w:t xml:space="preserve"> </w:t>
      </w:r>
      <w:r w:rsidRPr="00E5677E">
        <w:t>of institutional/organizational affiliation.</w:t>
      </w:r>
    </w:p>
    <w:p w:rsidR="003A722D" w:rsidRDefault="003A722D" w:rsidP="003A722D"/>
    <w:p w:rsidR="003A722D" w:rsidRDefault="003A722D" w:rsidP="003A722D"/>
    <w:p w:rsidR="003A722D" w:rsidRDefault="003A722D" w:rsidP="003A722D">
      <w:pPr>
        <w:rPr>
          <w:b/>
        </w:rPr>
      </w:pPr>
      <w:r w:rsidRPr="006C4FBD">
        <w:rPr>
          <w:b/>
          <w:color w:val="FF0000"/>
        </w:rPr>
        <w:t>With New Amendments</w:t>
      </w:r>
      <w:r w:rsidR="00AF3C4A" w:rsidRPr="006C4FBD">
        <w:rPr>
          <w:b/>
          <w:color w:val="FF0000"/>
        </w:rPr>
        <w:t>:</w:t>
      </w:r>
    </w:p>
    <w:p w:rsidR="00AF3C4A" w:rsidRDefault="00AF3C4A" w:rsidP="003A722D">
      <w:pPr>
        <w:rPr>
          <w:b/>
        </w:rPr>
      </w:pPr>
      <w:bookmarkStart w:id="0" w:name="_GoBack"/>
      <w:bookmarkEnd w:id="0"/>
    </w:p>
    <w:p w:rsidR="003A722D" w:rsidRPr="00AF3C4A" w:rsidRDefault="00AF3C4A" w:rsidP="003A722D">
      <w:r w:rsidRPr="00AF3C4A">
        <w:rPr>
          <w:u w:val="single"/>
        </w:rPr>
        <w:t>Section 2</w:t>
      </w:r>
      <w:r w:rsidRPr="00AF3C4A">
        <w:t>: Professional Membership</w:t>
      </w:r>
    </w:p>
    <w:p w:rsidR="003A722D" w:rsidRPr="003A722D" w:rsidRDefault="003A722D" w:rsidP="003A722D">
      <w:pPr>
        <w:pStyle w:val="ListParagraph"/>
        <w:numPr>
          <w:ilvl w:val="0"/>
          <w:numId w:val="3"/>
        </w:numPr>
        <w:rPr>
          <w:b/>
        </w:rPr>
      </w:pPr>
      <w:r>
        <w:t>Professional Membership shall be available to those persons currently or formerly employed in the administration or general operation, inclusive of instructional staff, of educational opportunity programs located in the states of Connecticut, Maine,</w:t>
      </w:r>
      <w:r w:rsidR="001D7A14">
        <w:t xml:space="preserve"> </w:t>
      </w:r>
      <w:r>
        <w:t>Massachusetts</w:t>
      </w:r>
      <w:r w:rsidR="001D7A14">
        <w:t>,</w:t>
      </w:r>
      <w:r>
        <w:t xml:space="preserve"> </w:t>
      </w:r>
      <w:r w:rsidR="001D7A14">
        <w:t xml:space="preserve">New Hampshire, Rhode Island, and </w:t>
      </w:r>
      <w:r>
        <w:t>Vermont</w:t>
      </w:r>
      <w:r w:rsidR="001D7A14">
        <w:t xml:space="preserve"> </w:t>
      </w:r>
      <w:r>
        <w:t xml:space="preserve">or those who are members of one of the regional state associations (CT) CAEOP, </w:t>
      </w:r>
      <w:r w:rsidR="001D7A14">
        <w:t xml:space="preserve">(ME) MEEOA, </w:t>
      </w:r>
      <w:r>
        <w:t>(MA) MEOA, (NH) NHEOA, (RI) RIEOA, and (VT) VEOP.</w:t>
      </w:r>
    </w:p>
    <w:p w:rsidR="003A722D" w:rsidRPr="003A722D" w:rsidRDefault="003A722D" w:rsidP="003A722D">
      <w:pPr>
        <w:pStyle w:val="ListParagraph"/>
        <w:numPr>
          <w:ilvl w:val="0"/>
          <w:numId w:val="3"/>
        </w:numPr>
        <w:rPr>
          <w:b/>
        </w:rPr>
      </w:pPr>
      <w:r>
        <w:t>Each member is entitled to one vote and is eligible to hold office as delineated in Article V, Section 3 of these bylaws.</w:t>
      </w:r>
    </w:p>
    <w:p w:rsidR="003A722D" w:rsidRPr="003A722D" w:rsidRDefault="003A722D" w:rsidP="003A722D">
      <w:pPr>
        <w:pStyle w:val="ListParagraph"/>
        <w:numPr>
          <w:ilvl w:val="0"/>
          <w:numId w:val="3"/>
        </w:numPr>
        <w:rPr>
          <w:b/>
        </w:rPr>
      </w:pPr>
      <w:r>
        <w:t xml:space="preserve">Membership shall remain with the individual irrespective of institutional/organizational affiliation. </w:t>
      </w:r>
    </w:p>
    <w:p w:rsidR="003A722D" w:rsidRDefault="003A722D" w:rsidP="003A722D"/>
    <w:sectPr w:rsidR="003A7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12841"/>
    <w:multiLevelType w:val="hybridMultilevel"/>
    <w:tmpl w:val="61406D74"/>
    <w:lvl w:ilvl="0" w:tplc="48CC3C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537728"/>
    <w:multiLevelType w:val="hybridMultilevel"/>
    <w:tmpl w:val="FB464700"/>
    <w:lvl w:ilvl="0" w:tplc="28C21740">
      <w:start w:val="1"/>
      <w:numFmt w:val="lowerLetter"/>
      <w:lvlText w:val="%1)"/>
      <w:lvlJc w:val="left"/>
      <w:pPr>
        <w:ind w:left="117" w:hanging="279"/>
      </w:pPr>
      <w:rPr>
        <w:rFonts w:ascii="Times New Roman" w:eastAsia="Times New Roman" w:hAnsi="Times New Roman" w:cs="Times New Roman" w:hint="default"/>
        <w:b w:val="0"/>
        <w:bCs w:val="0"/>
        <w:i w:val="0"/>
        <w:iCs w:val="0"/>
        <w:spacing w:val="0"/>
        <w:w w:val="99"/>
        <w:sz w:val="27"/>
        <w:szCs w:val="27"/>
        <w:lang w:val="en-US" w:eastAsia="en-US" w:bidi="ar-SA"/>
      </w:rPr>
    </w:lvl>
    <w:lvl w:ilvl="1" w:tplc="6B2630E4">
      <w:numFmt w:val="bullet"/>
      <w:lvlText w:val="•"/>
      <w:lvlJc w:val="left"/>
      <w:pPr>
        <w:ind w:left="996" w:hanging="279"/>
      </w:pPr>
      <w:rPr>
        <w:rFonts w:hint="default"/>
        <w:lang w:val="en-US" w:eastAsia="en-US" w:bidi="ar-SA"/>
      </w:rPr>
    </w:lvl>
    <w:lvl w:ilvl="2" w:tplc="0810C894">
      <w:numFmt w:val="bullet"/>
      <w:lvlText w:val="•"/>
      <w:lvlJc w:val="left"/>
      <w:pPr>
        <w:ind w:left="1872" w:hanging="279"/>
      </w:pPr>
      <w:rPr>
        <w:rFonts w:hint="default"/>
        <w:lang w:val="en-US" w:eastAsia="en-US" w:bidi="ar-SA"/>
      </w:rPr>
    </w:lvl>
    <w:lvl w:ilvl="3" w:tplc="6966E632">
      <w:numFmt w:val="bullet"/>
      <w:lvlText w:val="•"/>
      <w:lvlJc w:val="left"/>
      <w:pPr>
        <w:ind w:left="2748" w:hanging="279"/>
      </w:pPr>
      <w:rPr>
        <w:rFonts w:hint="default"/>
        <w:lang w:val="en-US" w:eastAsia="en-US" w:bidi="ar-SA"/>
      </w:rPr>
    </w:lvl>
    <w:lvl w:ilvl="4" w:tplc="C960197E">
      <w:numFmt w:val="bullet"/>
      <w:lvlText w:val="•"/>
      <w:lvlJc w:val="left"/>
      <w:pPr>
        <w:ind w:left="3624" w:hanging="279"/>
      </w:pPr>
      <w:rPr>
        <w:rFonts w:hint="default"/>
        <w:lang w:val="en-US" w:eastAsia="en-US" w:bidi="ar-SA"/>
      </w:rPr>
    </w:lvl>
    <w:lvl w:ilvl="5" w:tplc="510CD432">
      <w:numFmt w:val="bullet"/>
      <w:lvlText w:val="•"/>
      <w:lvlJc w:val="left"/>
      <w:pPr>
        <w:ind w:left="4500" w:hanging="279"/>
      </w:pPr>
      <w:rPr>
        <w:rFonts w:hint="default"/>
        <w:lang w:val="en-US" w:eastAsia="en-US" w:bidi="ar-SA"/>
      </w:rPr>
    </w:lvl>
    <w:lvl w:ilvl="6" w:tplc="0DAE4BCA">
      <w:numFmt w:val="bullet"/>
      <w:lvlText w:val="•"/>
      <w:lvlJc w:val="left"/>
      <w:pPr>
        <w:ind w:left="5376" w:hanging="279"/>
      </w:pPr>
      <w:rPr>
        <w:rFonts w:hint="default"/>
        <w:lang w:val="en-US" w:eastAsia="en-US" w:bidi="ar-SA"/>
      </w:rPr>
    </w:lvl>
    <w:lvl w:ilvl="7" w:tplc="E2FEE3FC">
      <w:numFmt w:val="bullet"/>
      <w:lvlText w:val="•"/>
      <w:lvlJc w:val="left"/>
      <w:pPr>
        <w:ind w:left="6252" w:hanging="279"/>
      </w:pPr>
      <w:rPr>
        <w:rFonts w:hint="default"/>
        <w:lang w:val="en-US" w:eastAsia="en-US" w:bidi="ar-SA"/>
      </w:rPr>
    </w:lvl>
    <w:lvl w:ilvl="8" w:tplc="BCB4F140">
      <w:numFmt w:val="bullet"/>
      <w:lvlText w:val="•"/>
      <w:lvlJc w:val="left"/>
      <w:pPr>
        <w:ind w:left="7128" w:hanging="279"/>
      </w:pPr>
      <w:rPr>
        <w:rFonts w:hint="default"/>
        <w:lang w:val="en-US" w:eastAsia="en-US" w:bidi="ar-SA"/>
      </w:rPr>
    </w:lvl>
  </w:abstractNum>
  <w:abstractNum w:abstractNumId="2" w15:restartNumberingAfterBreak="0">
    <w:nsid w:val="65900A25"/>
    <w:multiLevelType w:val="hybridMultilevel"/>
    <w:tmpl w:val="02444F56"/>
    <w:lvl w:ilvl="0" w:tplc="08A88C90">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22D"/>
    <w:rsid w:val="001D7A14"/>
    <w:rsid w:val="003A722D"/>
    <w:rsid w:val="003F1CFE"/>
    <w:rsid w:val="006C4FBD"/>
    <w:rsid w:val="00740998"/>
    <w:rsid w:val="008B50AB"/>
    <w:rsid w:val="00AF3C4A"/>
    <w:rsid w:val="00D330C3"/>
    <w:rsid w:val="00DC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DA609-F9DB-4B90-B798-34F6C460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A722D"/>
    <w:pPr>
      <w:ind w:left="720"/>
      <w:contextualSpacing/>
    </w:pPr>
  </w:style>
  <w:style w:type="paragraph" w:styleId="BodyText">
    <w:name w:val="Body Text"/>
    <w:basedOn w:val="Normal"/>
    <w:link w:val="BodyTextChar"/>
    <w:uiPriority w:val="1"/>
    <w:qFormat/>
    <w:rsid w:val="003A722D"/>
    <w:pPr>
      <w:widowControl w:val="0"/>
      <w:autoSpaceDE w:val="0"/>
      <w:autoSpaceDN w:val="0"/>
      <w:spacing w:before="280" w:line="240" w:lineRule="auto"/>
      <w:ind w:left="117"/>
    </w:pPr>
    <w:rPr>
      <w:rFonts w:eastAsia="Times New Roman"/>
      <w:sz w:val="27"/>
      <w:szCs w:val="27"/>
    </w:rPr>
  </w:style>
  <w:style w:type="character" w:customStyle="1" w:styleId="BodyTextChar">
    <w:name w:val="Body Text Char"/>
    <w:basedOn w:val="DefaultParagraphFont"/>
    <w:link w:val="BodyText"/>
    <w:uiPriority w:val="1"/>
    <w:rsid w:val="003A722D"/>
    <w:rPr>
      <w:rFonts w:eastAsia="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University of New York at Plattsburgh</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Post</dc:creator>
  <cp:keywords/>
  <dc:description/>
  <cp:lastModifiedBy>Brian Post</cp:lastModifiedBy>
  <cp:revision>3</cp:revision>
  <dcterms:created xsi:type="dcterms:W3CDTF">2025-02-11T20:27:00Z</dcterms:created>
  <dcterms:modified xsi:type="dcterms:W3CDTF">2025-02-12T18:14:00Z</dcterms:modified>
</cp:coreProperties>
</file>